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C3D4F" w14:textId="5059E196" w:rsidR="00E87147" w:rsidRPr="00B642F0" w:rsidRDefault="00E87147" w:rsidP="00B642F0">
      <w:pPr>
        <w:jc w:val="both"/>
        <w:rPr>
          <w:b/>
          <w:bCs/>
          <w:sz w:val="32"/>
          <w:szCs w:val="32"/>
        </w:rPr>
      </w:pPr>
      <w:r w:rsidRPr="00B642F0">
        <w:rPr>
          <w:b/>
          <w:bCs/>
          <w:sz w:val="32"/>
          <w:szCs w:val="32"/>
        </w:rPr>
        <w:t>Cien años de Josep Coll, el mejor dibujante del ‘TBO’</w:t>
      </w:r>
    </w:p>
    <w:p w14:paraId="61C174FD" w14:textId="595D0D36" w:rsidR="00E87147" w:rsidRPr="00B642F0" w:rsidRDefault="00E87147" w:rsidP="00B642F0">
      <w:pPr>
        <w:jc w:val="both"/>
        <w:rPr>
          <w:b/>
          <w:bCs/>
        </w:rPr>
      </w:pPr>
      <w:r w:rsidRPr="00B642F0">
        <w:rPr>
          <w:b/>
          <w:bCs/>
        </w:rPr>
        <w:t>NORMA</w:t>
      </w:r>
      <w:r w:rsidR="00B642F0" w:rsidRPr="00B642F0">
        <w:rPr>
          <w:b/>
          <w:bCs/>
        </w:rPr>
        <w:t xml:space="preserve"> Editorial</w:t>
      </w:r>
      <w:r w:rsidRPr="00B642F0">
        <w:rPr>
          <w:b/>
          <w:bCs/>
        </w:rPr>
        <w:t xml:space="preserve"> reúne en el volumen ‘</w:t>
      </w:r>
      <w:r w:rsidR="00A8639F" w:rsidRPr="00B642F0">
        <w:rPr>
          <w:b/>
          <w:bCs/>
        </w:rPr>
        <w:t>Coll. Trayectoria de un historietista insólito’</w:t>
      </w:r>
      <w:r w:rsidRPr="00B642F0">
        <w:rPr>
          <w:b/>
          <w:bCs/>
        </w:rPr>
        <w:t xml:space="preserve"> los mejores trabajos del dibujante barcelonés, abarcando cuatro décadas de magisterio en la viñeta</w:t>
      </w:r>
    </w:p>
    <w:p w14:paraId="5142D6F3" w14:textId="2D9BD156" w:rsidR="009649A5" w:rsidRDefault="009649A5" w:rsidP="00B642F0">
      <w:pPr>
        <w:jc w:val="both"/>
      </w:pPr>
      <w:r>
        <w:t xml:space="preserve">Fue sin duda el mejor dibujante del legendario </w:t>
      </w:r>
      <w:r>
        <w:rPr>
          <w:i/>
          <w:iCs/>
        </w:rPr>
        <w:t>TBO</w:t>
      </w:r>
      <w:r>
        <w:t>, y para muchos uno de los grandes de la historia de la viñeta. Ahora, con motivo de su centenario, N</w:t>
      </w:r>
      <w:r w:rsidR="00A8639F">
        <w:t>orma</w:t>
      </w:r>
      <w:r>
        <w:t xml:space="preserve"> Editorial recoge en un volumen los mejores trabajos de Josep Coll de entre las más de 4.000 viñetas e historietas que firmó, no solo como un homenaje a su formidable legado, sino también como una forma de reivindicar la absoluta vigencia de su arte. </w:t>
      </w:r>
    </w:p>
    <w:p w14:paraId="5449E90B" w14:textId="09B6D90F" w:rsidR="009649A5" w:rsidRDefault="009649A5" w:rsidP="00B642F0">
      <w:pPr>
        <w:jc w:val="both"/>
      </w:pPr>
      <w:r>
        <w:rPr>
          <w:i/>
          <w:iCs/>
        </w:rPr>
        <w:t xml:space="preserve">Coll. </w:t>
      </w:r>
      <w:r w:rsidR="00A8639F" w:rsidRPr="00A8639F">
        <w:rPr>
          <w:i/>
          <w:iCs/>
        </w:rPr>
        <w:t>Trayectoria de un historietista insólito</w:t>
      </w:r>
      <w:r w:rsidR="00A8639F">
        <w:t xml:space="preserve"> </w:t>
      </w:r>
      <w:r>
        <w:t xml:space="preserve">muestra así </w:t>
      </w:r>
      <w:r w:rsidRPr="00B94635">
        <w:t>la evolución de</w:t>
      </w:r>
      <w:r>
        <w:t xml:space="preserve">l maestro </w:t>
      </w:r>
      <w:r w:rsidRPr="00B94635">
        <w:t>desde sus inicios en el año 1948 hasta sus últimos dibujos, realizados en 1984, el mismo año de su muerte</w:t>
      </w:r>
      <w:r>
        <w:t>, pasando por su época de esplendor de mediados de los 50, cuando Coll se convirtió en un</w:t>
      </w:r>
      <w:r w:rsidR="00A8639F">
        <w:t>o</w:t>
      </w:r>
      <w:r>
        <w:t xml:space="preserve"> de los creadores más reconocibles del </w:t>
      </w:r>
      <w:r>
        <w:rPr>
          <w:i/>
          <w:iCs/>
        </w:rPr>
        <w:t xml:space="preserve">TBO </w:t>
      </w:r>
      <w:r>
        <w:t xml:space="preserve">junto a otros grandes como </w:t>
      </w:r>
      <w:proofErr w:type="spellStart"/>
      <w:r>
        <w:t>Benejam</w:t>
      </w:r>
      <w:proofErr w:type="spellEnd"/>
      <w:r>
        <w:t xml:space="preserve">, </w:t>
      </w:r>
      <w:proofErr w:type="spellStart"/>
      <w:r>
        <w:t>Sabatés</w:t>
      </w:r>
      <w:proofErr w:type="spellEnd"/>
      <w:r>
        <w:t xml:space="preserve"> u </w:t>
      </w:r>
      <w:proofErr w:type="spellStart"/>
      <w:r>
        <w:t>Opisso</w:t>
      </w:r>
      <w:proofErr w:type="spellEnd"/>
      <w:r w:rsidRPr="00B94635">
        <w:t xml:space="preserve">. 36 años </w:t>
      </w:r>
      <w:r>
        <w:t>de dedicación a</w:t>
      </w:r>
      <w:r w:rsidRPr="00B94635">
        <w:t xml:space="preserve"> la historieta</w:t>
      </w:r>
      <w:r>
        <w:t xml:space="preserve"> plasmados en una amplia selección a cargo del especialista </w:t>
      </w:r>
      <w:r w:rsidRPr="002A328C">
        <w:rPr>
          <w:bCs/>
        </w:rPr>
        <w:t>Luis Garbayo Erviti</w:t>
      </w:r>
      <w:r w:rsidRPr="002A328C">
        <w:t>, qu</w:t>
      </w:r>
      <w:r w:rsidR="00A8639F">
        <w:t>ien</w:t>
      </w:r>
      <w:r w:rsidRPr="002A328C">
        <w:t xml:space="preserve"> además </w:t>
      </w:r>
      <w:r>
        <w:t>añade</w:t>
      </w:r>
      <w:r w:rsidRPr="002A328C">
        <w:t xml:space="preserve"> un ensayo imprescindible para acercarse a la figura de este soberbio historietista. </w:t>
      </w:r>
    </w:p>
    <w:p w14:paraId="6C4A921B" w14:textId="47B3A1C9" w:rsidR="00E87147" w:rsidRDefault="009649A5" w:rsidP="00B642F0">
      <w:pPr>
        <w:jc w:val="both"/>
      </w:pPr>
      <w:r>
        <w:t>“</w:t>
      </w:r>
      <w:r w:rsidR="00E87147" w:rsidRPr="00B94635">
        <w:t>Lo que Fernando Castillo Cáceres expli</w:t>
      </w:r>
      <w:r w:rsidR="00E87147" w:rsidRPr="00B94635">
        <w:softHyphen/>
        <w:t xml:space="preserve">ca sobre </w:t>
      </w:r>
      <w:proofErr w:type="spellStart"/>
      <w:r w:rsidR="00E87147" w:rsidRPr="00B94635">
        <w:t>Hergé</w:t>
      </w:r>
      <w:proofErr w:type="spellEnd"/>
      <w:r w:rsidR="00E87147" w:rsidRPr="00B94635">
        <w:t xml:space="preserve">, el creador de </w:t>
      </w:r>
      <w:proofErr w:type="gramStart"/>
      <w:r w:rsidR="00E87147" w:rsidRPr="00B94635">
        <w:t>Tintín,</w:t>
      </w:r>
      <w:proofErr w:type="gramEnd"/>
      <w:r w:rsidR="00E87147" w:rsidRPr="00B94635">
        <w:t xml:space="preserve"> se puede igual</w:t>
      </w:r>
      <w:r w:rsidR="00E87147" w:rsidRPr="00B94635">
        <w:softHyphen/>
        <w:t>mente aplicar a Coll: creó un estilo de ilustración que coincidía con la modernidad, con la sencillez de la vanguardia y del arte moderno</w:t>
      </w:r>
      <w:r>
        <w:t>”, explica Garbayo Erviti</w:t>
      </w:r>
      <w:r w:rsidR="00E87147" w:rsidRPr="00B94635">
        <w:t xml:space="preserve">. </w:t>
      </w:r>
      <w:r>
        <w:t>“</w:t>
      </w:r>
      <w:r w:rsidR="00E87147" w:rsidRPr="00B94635">
        <w:t xml:space="preserve">Coll siempre fue </w:t>
      </w:r>
      <w:r>
        <w:t>‘</w:t>
      </w:r>
      <w:r w:rsidR="00E87147" w:rsidRPr="00B94635">
        <w:t>mo</w:t>
      </w:r>
      <w:r w:rsidR="00E87147" w:rsidRPr="00B94635">
        <w:softHyphen/>
        <w:t>derno</w:t>
      </w:r>
      <w:r>
        <w:t>’</w:t>
      </w:r>
      <w:r w:rsidR="00E87147" w:rsidRPr="00B94635">
        <w:t>, aunque sus lectores de entonces no supiéra</w:t>
      </w:r>
      <w:r w:rsidR="00E87147" w:rsidRPr="00B94635">
        <w:softHyphen/>
        <w:t xml:space="preserve">mos explicarlo así: para nosotros, sencillamente, Coll era diferente a los demás, el mejor dibujante del </w:t>
      </w:r>
      <w:r w:rsidR="00E87147" w:rsidRPr="00B94635">
        <w:rPr>
          <w:i/>
          <w:iCs/>
        </w:rPr>
        <w:t>TBO</w:t>
      </w:r>
      <w:r>
        <w:t>”.</w:t>
      </w:r>
    </w:p>
    <w:p w14:paraId="45CA185F" w14:textId="6733CC20" w:rsidR="00E87147" w:rsidRDefault="009649A5" w:rsidP="00B642F0">
      <w:pPr>
        <w:jc w:val="both"/>
      </w:pPr>
      <w:r>
        <w:t xml:space="preserve">El estudioso señala también el hecho de que Coll no alcanzara la proyección de otros dibujantes de tebeos por su reticencia a crear personajes fijos, </w:t>
      </w:r>
      <w:r w:rsidR="00E87147" w:rsidRPr="00B94635">
        <w:t xml:space="preserve">como </w:t>
      </w:r>
      <w:r>
        <w:t>sí</w:t>
      </w:r>
      <w:r w:rsidR="00E87147" w:rsidRPr="00B94635">
        <w:t xml:space="preserve"> hicieron los de la Escuela Bruguera –Ibáñez</w:t>
      </w:r>
      <w:r>
        <w:t xml:space="preserve"> con </w:t>
      </w:r>
      <w:r w:rsidR="00E87147" w:rsidRPr="00B94635">
        <w:rPr>
          <w:i/>
          <w:iCs/>
        </w:rPr>
        <w:t>Mortadelo y File</w:t>
      </w:r>
      <w:r w:rsidR="00E87147" w:rsidRPr="00B94635">
        <w:rPr>
          <w:i/>
          <w:iCs/>
        </w:rPr>
        <w:softHyphen/>
        <w:t>món</w:t>
      </w:r>
      <w:r w:rsidR="00E87147" w:rsidRPr="00B94635">
        <w:t>; Vázquez</w:t>
      </w:r>
      <w:r>
        <w:t xml:space="preserve"> con</w:t>
      </w:r>
      <w:r w:rsidR="00E87147" w:rsidRPr="00B94635">
        <w:t xml:space="preserve"> </w:t>
      </w:r>
      <w:r w:rsidR="00E87147" w:rsidRPr="00B94635">
        <w:rPr>
          <w:i/>
          <w:iCs/>
        </w:rPr>
        <w:t>Las hermanas Gilda</w:t>
      </w:r>
      <w:r w:rsidR="00E87147" w:rsidRPr="00B94635">
        <w:t>; Escobar</w:t>
      </w:r>
      <w:r>
        <w:t xml:space="preserve"> con </w:t>
      </w:r>
      <w:r w:rsidR="00E87147" w:rsidRPr="00B94635">
        <w:rPr>
          <w:i/>
          <w:iCs/>
        </w:rPr>
        <w:t>Zipi y Zape</w:t>
      </w:r>
      <w:r w:rsidR="00E87147" w:rsidRPr="00B94635">
        <w:t xml:space="preserve">– o los del propio </w:t>
      </w:r>
      <w:r w:rsidR="00E87147" w:rsidRPr="00B94635">
        <w:rPr>
          <w:i/>
          <w:iCs/>
        </w:rPr>
        <w:t xml:space="preserve">TBO </w:t>
      </w:r>
      <w:r w:rsidR="00E87147" w:rsidRPr="00B94635">
        <w:t>–</w:t>
      </w:r>
      <w:proofErr w:type="spellStart"/>
      <w:r w:rsidR="00E87147" w:rsidRPr="00B94635">
        <w:t>Sabatés</w:t>
      </w:r>
      <w:proofErr w:type="spellEnd"/>
      <w:r w:rsidR="00E87147" w:rsidRPr="00B94635">
        <w:t xml:space="preserve">, y otros, </w:t>
      </w:r>
      <w:r w:rsidR="00750971">
        <w:rPr>
          <w:i/>
          <w:iCs/>
        </w:rPr>
        <w:t>E</w:t>
      </w:r>
      <w:r w:rsidR="00E87147" w:rsidRPr="00B94635">
        <w:rPr>
          <w:i/>
          <w:iCs/>
        </w:rPr>
        <w:t>l profesor Franz de Copenhague</w:t>
      </w:r>
      <w:r w:rsidR="00E87147" w:rsidRPr="00B94635">
        <w:t xml:space="preserve">; </w:t>
      </w:r>
      <w:proofErr w:type="spellStart"/>
      <w:r w:rsidR="00E87147" w:rsidRPr="00B94635">
        <w:t>Buigas</w:t>
      </w:r>
      <w:proofErr w:type="spellEnd"/>
      <w:r w:rsidR="00E87147" w:rsidRPr="00B94635">
        <w:t xml:space="preserve"> y </w:t>
      </w:r>
      <w:proofErr w:type="spellStart"/>
      <w:r w:rsidR="00E87147" w:rsidRPr="00B94635">
        <w:t>Benejam</w:t>
      </w:r>
      <w:proofErr w:type="spellEnd"/>
      <w:r w:rsidR="00E87147" w:rsidRPr="00B94635">
        <w:t xml:space="preserve">, </w:t>
      </w:r>
      <w:r w:rsidR="00E87147" w:rsidRPr="00B94635">
        <w:rPr>
          <w:i/>
          <w:iCs/>
        </w:rPr>
        <w:t xml:space="preserve">Morcillón y </w:t>
      </w:r>
      <w:proofErr w:type="spellStart"/>
      <w:r w:rsidR="00E87147" w:rsidRPr="00B94635">
        <w:rPr>
          <w:i/>
          <w:iCs/>
        </w:rPr>
        <w:t>Babali</w:t>
      </w:r>
      <w:proofErr w:type="spellEnd"/>
      <w:r w:rsidR="00E87147" w:rsidRPr="00B94635">
        <w:t xml:space="preserve"> y </w:t>
      </w:r>
      <w:r w:rsidR="00750971">
        <w:rPr>
          <w:i/>
          <w:iCs/>
        </w:rPr>
        <w:t>L</w:t>
      </w:r>
      <w:r w:rsidR="00E87147" w:rsidRPr="00B94635">
        <w:rPr>
          <w:i/>
          <w:iCs/>
        </w:rPr>
        <w:t>a familia Ulises</w:t>
      </w:r>
      <w:r w:rsidR="00E87147" w:rsidRPr="00B94635">
        <w:t xml:space="preserve">; </w:t>
      </w:r>
      <w:proofErr w:type="spellStart"/>
      <w:r w:rsidR="00E87147" w:rsidRPr="00B94635">
        <w:t>Muntañola</w:t>
      </w:r>
      <w:proofErr w:type="spellEnd"/>
      <w:r w:rsidR="00E87147" w:rsidRPr="00B94635">
        <w:t xml:space="preserve">, </w:t>
      </w:r>
      <w:proofErr w:type="spellStart"/>
      <w:r w:rsidR="00E87147" w:rsidRPr="00B94635">
        <w:rPr>
          <w:i/>
          <w:iCs/>
        </w:rPr>
        <w:t>Josechu</w:t>
      </w:r>
      <w:proofErr w:type="spellEnd"/>
      <w:r w:rsidR="00E87147" w:rsidRPr="00B94635">
        <w:rPr>
          <w:i/>
          <w:iCs/>
        </w:rPr>
        <w:t>, el vasco</w:t>
      </w:r>
      <w:r w:rsidR="00E87147" w:rsidRPr="00B94635">
        <w:t xml:space="preserve">; Bernet Toledano y Carlos </w:t>
      </w:r>
      <w:proofErr w:type="spellStart"/>
      <w:r w:rsidR="00E87147" w:rsidRPr="00B94635">
        <w:t>Bech</w:t>
      </w:r>
      <w:proofErr w:type="spellEnd"/>
      <w:r w:rsidR="00E87147" w:rsidRPr="00B94635">
        <w:t xml:space="preserve">, </w:t>
      </w:r>
      <w:proofErr w:type="spellStart"/>
      <w:r w:rsidR="00E87147" w:rsidRPr="00B94635">
        <w:rPr>
          <w:i/>
          <w:iCs/>
        </w:rPr>
        <w:t>Altamiro</w:t>
      </w:r>
      <w:proofErr w:type="spellEnd"/>
      <w:r w:rsidR="00E87147" w:rsidRPr="00B94635">
        <w:rPr>
          <w:i/>
          <w:iCs/>
        </w:rPr>
        <w:t xml:space="preserve"> de la Cueva</w:t>
      </w:r>
      <w:r w:rsidR="00E87147" w:rsidRPr="00B94635">
        <w:t xml:space="preserve">—. </w:t>
      </w:r>
      <w:r w:rsidR="00750971">
        <w:t>Sin embargo, Garbayo Erviti cree que “</w:t>
      </w:r>
      <w:r w:rsidR="00E87147" w:rsidRPr="00B94635">
        <w:t>no es exacto decir que Coll no creó sus propios personajes. Antes de publi</w:t>
      </w:r>
      <w:r w:rsidR="00E87147" w:rsidRPr="00B94635">
        <w:softHyphen/>
        <w:t xml:space="preserve">car en </w:t>
      </w:r>
      <w:r w:rsidR="00E87147" w:rsidRPr="00B94635">
        <w:rPr>
          <w:i/>
          <w:iCs/>
        </w:rPr>
        <w:t xml:space="preserve">TBO, </w:t>
      </w:r>
      <w:r w:rsidR="00E87147" w:rsidRPr="00B94635">
        <w:t>creó varios, siguiendo la tendencia de las revistas de la época de publicar historietas protago</w:t>
      </w:r>
      <w:r w:rsidR="00E87147" w:rsidRPr="00B94635">
        <w:softHyphen/>
        <w:t xml:space="preserve">nizadas por personajes identificados con su nombre, aunque muchas veces carecieran de continuidad. Sin embargo, para </w:t>
      </w:r>
      <w:r w:rsidR="00E87147" w:rsidRPr="00B94635">
        <w:rPr>
          <w:i/>
          <w:iCs/>
        </w:rPr>
        <w:t xml:space="preserve">Chispa </w:t>
      </w:r>
      <w:r w:rsidR="00E87147" w:rsidRPr="00B94635">
        <w:t xml:space="preserve">creó </w:t>
      </w:r>
      <w:proofErr w:type="spellStart"/>
      <w:r w:rsidR="00E87147" w:rsidRPr="00B94635">
        <w:rPr>
          <w:i/>
          <w:iCs/>
        </w:rPr>
        <w:t>Cocoduro</w:t>
      </w:r>
      <w:proofErr w:type="spellEnd"/>
      <w:r w:rsidR="00E87147" w:rsidRPr="00B94635">
        <w:rPr>
          <w:i/>
          <w:iCs/>
        </w:rPr>
        <w:t xml:space="preserve">, el conde de </w:t>
      </w:r>
      <w:proofErr w:type="spellStart"/>
      <w:r w:rsidR="00E87147" w:rsidRPr="00B94635">
        <w:rPr>
          <w:i/>
          <w:iCs/>
        </w:rPr>
        <w:t>Calvatiesa</w:t>
      </w:r>
      <w:proofErr w:type="spellEnd"/>
      <w:r w:rsidR="00E87147" w:rsidRPr="00B94635">
        <w:t xml:space="preserve">, del que se publicaron once historietas a página entera. Ya en </w:t>
      </w:r>
      <w:r w:rsidR="00E87147" w:rsidRPr="00B94635">
        <w:rPr>
          <w:i/>
          <w:iCs/>
        </w:rPr>
        <w:t xml:space="preserve">TBO, </w:t>
      </w:r>
      <w:r w:rsidR="00E87147" w:rsidRPr="00B94635">
        <w:t xml:space="preserve">crearía al </w:t>
      </w:r>
      <w:r w:rsidR="00E87147" w:rsidRPr="00B94635">
        <w:rPr>
          <w:i/>
          <w:iCs/>
        </w:rPr>
        <w:t xml:space="preserve">profesor </w:t>
      </w:r>
      <w:proofErr w:type="spellStart"/>
      <w:r w:rsidR="00E87147" w:rsidRPr="00B94635">
        <w:rPr>
          <w:i/>
          <w:iCs/>
        </w:rPr>
        <w:t>Anima</w:t>
      </w:r>
      <w:r w:rsidR="00E87147" w:rsidRPr="00B94635">
        <w:rPr>
          <w:i/>
          <w:iCs/>
        </w:rPr>
        <w:softHyphen/>
        <w:t>leski</w:t>
      </w:r>
      <w:proofErr w:type="spellEnd"/>
      <w:r w:rsidR="00E87147" w:rsidRPr="00B94635">
        <w:t>, para el que dibujó tres historietas. Pero pronto los abandonará porque, según decía, no quería some</w:t>
      </w:r>
      <w:r w:rsidR="00E87147" w:rsidRPr="00B94635">
        <w:softHyphen/>
        <w:t>ter su creatividad como guionista a un personaje</w:t>
      </w:r>
      <w:r w:rsidR="00750971">
        <w:t>”</w:t>
      </w:r>
      <w:r w:rsidR="00E87147" w:rsidRPr="00B94635">
        <w:t xml:space="preserve">. </w:t>
      </w:r>
    </w:p>
    <w:p w14:paraId="5D262478" w14:textId="46B1D99C" w:rsidR="00750971" w:rsidRDefault="00750971" w:rsidP="00B642F0">
      <w:pPr>
        <w:jc w:val="both"/>
      </w:pPr>
      <w:r>
        <w:lastRenderedPageBreak/>
        <w:t xml:space="preserve">Lo seguro es que Coll encontró en </w:t>
      </w:r>
      <w:r>
        <w:rPr>
          <w:i/>
          <w:iCs/>
        </w:rPr>
        <w:t xml:space="preserve">TBO </w:t>
      </w:r>
      <w:r>
        <w:t>un espacio idóneo en el que desplegar su idea de la historieta, aplicar técnicas diversas –</w:t>
      </w:r>
      <w:r w:rsidR="00E87147" w:rsidRPr="00B94635">
        <w:t>la repetición y el punto de vista fijo, las historias sin palabras, el dise</w:t>
      </w:r>
      <w:r w:rsidR="00E87147" w:rsidRPr="00B94635">
        <w:softHyphen/>
        <w:t>ño variable de los marcos de viñeta...</w:t>
      </w:r>
      <w:r>
        <w:t xml:space="preserve">– y, en definitiva, configurar un lenguaje gráfico personalísimo en un tiempo en el que la viñeta estaba lejos de ser considerada un arte mayor, pero que a la luz de los tiempos actuales adquiere todo su esplendor.  </w:t>
      </w:r>
    </w:p>
    <w:p w14:paraId="7515DE88" w14:textId="6748565D" w:rsidR="00E87147" w:rsidRPr="00B94635" w:rsidRDefault="00750971" w:rsidP="00B642F0">
      <w:pPr>
        <w:jc w:val="both"/>
      </w:pPr>
      <w:r>
        <w:t xml:space="preserve"> </w:t>
      </w:r>
    </w:p>
    <w:p w14:paraId="1EB5BF8A" w14:textId="77777777" w:rsidR="00E87147" w:rsidRPr="00E87147" w:rsidRDefault="00E87147" w:rsidP="00B642F0">
      <w:pPr>
        <w:jc w:val="both"/>
        <w:rPr>
          <w:b/>
          <w:bCs/>
        </w:rPr>
      </w:pPr>
      <w:r w:rsidRPr="00E87147">
        <w:rPr>
          <w:b/>
          <w:bCs/>
        </w:rPr>
        <w:t>Sobre el autor</w:t>
      </w:r>
    </w:p>
    <w:p w14:paraId="3D81D10C" w14:textId="399D9001" w:rsidR="00E87147" w:rsidRPr="00E87147" w:rsidRDefault="00E87147" w:rsidP="00B642F0">
      <w:pPr>
        <w:jc w:val="both"/>
        <w:rPr>
          <w:b/>
          <w:bCs/>
        </w:rPr>
      </w:pPr>
      <w:r w:rsidRPr="00E87147">
        <w:rPr>
          <w:b/>
          <w:bCs/>
        </w:rPr>
        <w:t>Josep Coll</w:t>
      </w:r>
    </w:p>
    <w:p w14:paraId="5C918F89" w14:textId="0A6B263D" w:rsidR="00E87147" w:rsidRDefault="000C5DE0" w:rsidP="00B642F0">
      <w:pPr>
        <w:jc w:val="both"/>
      </w:pPr>
      <w:r w:rsidRPr="000C5DE0">
        <w:t>(Barcelona, 1924-1984)</w:t>
      </w:r>
    </w:p>
    <w:p w14:paraId="6AC3C331" w14:textId="2AC59B0A" w:rsidR="00E87147" w:rsidRDefault="000C5DE0" w:rsidP="00B642F0">
      <w:pPr>
        <w:jc w:val="both"/>
      </w:pPr>
      <w:r>
        <w:t xml:space="preserve">A muy temprana edad compaginó el trabajo en </w:t>
      </w:r>
      <w:r w:rsidR="00E87147">
        <w:t>una cantera</w:t>
      </w:r>
      <w:r>
        <w:t xml:space="preserve"> con </w:t>
      </w:r>
      <w:r w:rsidR="00E87147">
        <w:t xml:space="preserve">los estudios en la Escuela Industrial y en la de Artes y Oficios de la </w:t>
      </w:r>
      <w:r>
        <w:t>C</w:t>
      </w:r>
      <w:r w:rsidR="00E87147">
        <w:t xml:space="preserve">iudad </w:t>
      </w:r>
      <w:r>
        <w:t>C</w:t>
      </w:r>
      <w:r w:rsidR="00E87147">
        <w:t>ondal.</w:t>
      </w:r>
      <w:r>
        <w:t xml:space="preserve"> </w:t>
      </w:r>
      <w:r w:rsidR="00E87147">
        <w:t xml:space="preserve">Se inició en el tebeo hacia 1948, en revistas como </w:t>
      </w:r>
      <w:r w:rsidR="00E87147" w:rsidRPr="000C5DE0">
        <w:rPr>
          <w:i/>
          <w:iCs/>
        </w:rPr>
        <w:t>Pocholo, Chispa, Mundo Infantil, PBT, Nicolás, KKO</w:t>
      </w:r>
      <w:r w:rsidR="00E87147">
        <w:t xml:space="preserve"> y </w:t>
      </w:r>
      <w:r w:rsidR="00E87147" w:rsidRPr="000C5DE0">
        <w:rPr>
          <w:i/>
          <w:iCs/>
        </w:rPr>
        <w:t>La Risa</w:t>
      </w:r>
      <w:r>
        <w:t>,</w:t>
      </w:r>
      <w:r w:rsidR="00E87147">
        <w:t xml:space="preserve"> </w:t>
      </w:r>
      <w:r>
        <w:t>pero sobre todo alcanzó fama a partir de 1949 gracias a s</w:t>
      </w:r>
      <w:r w:rsidR="00E87147">
        <w:t>u colaboración con la revista TBO</w:t>
      </w:r>
      <w:r>
        <w:t xml:space="preserve">, donde </w:t>
      </w:r>
      <w:r w:rsidR="00E87147">
        <w:t xml:space="preserve">se especializó en historietas sin personajes fijos, protagonizadas por arquetipos </w:t>
      </w:r>
      <w:r>
        <w:t xml:space="preserve">humanos. </w:t>
      </w:r>
    </w:p>
    <w:p w14:paraId="432D17D3" w14:textId="2FF60240" w:rsidR="00E87147" w:rsidRDefault="00E87147" w:rsidP="00B642F0">
      <w:pPr>
        <w:jc w:val="both"/>
      </w:pPr>
      <w:r>
        <w:t xml:space="preserve">Además de para TBO, trabajó para otras revistas, en español y en catalán, como </w:t>
      </w:r>
      <w:r w:rsidRPr="000C5DE0">
        <w:rPr>
          <w:i/>
          <w:iCs/>
        </w:rPr>
        <w:t xml:space="preserve">La Risa, Álex, </w:t>
      </w:r>
      <w:proofErr w:type="spellStart"/>
      <w:r w:rsidRPr="000C5DE0">
        <w:rPr>
          <w:i/>
          <w:iCs/>
        </w:rPr>
        <w:t>Tururut</w:t>
      </w:r>
      <w:proofErr w:type="spellEnd"/>
      <w:r w:rsidRPr="000C5DE0">
        <w:rPr>
          <w:i/>
          <w:iCs/>
        </w:rPr>
        <w:t xml:space="preserve"> o </w:t>
      </w:r>
      <w:proofErr w:type="spellStart"/>
      <w:r w:rsidRPr="000C5DE0">
        <w:rPr>
          <w:i/>
          <w:iCs/>
        </w:rPr>
        <w:t>L'Infantil</w:t>
      </w:r>
      <w:proofErr w:type="spellEnd"/>
      <w:r w:rsidR="000C5DE0">
        <w:t xml:space="preserve">, </w:t>
      </w:r>
      <w:r>
        <w:t>para la que creó una de sus poquísimas series con personajes fijos</w:t>
      </w:r>
      <w:r w:rsidR="000C5DE0">
        <w:t>,</w:t>
      </w:r>
      <w:r>
        <w:t xml:space="preserve"> </w:t>
      </w:r>
      <w:r w:rsidRPr="000C5DE0">
        <w:rPr>
          <w:i/>
          <w:iCs/>
        </w:rPr>
        <w:t xml:space="preserve">En Bufa i en </w:t>
      </w:r>
      <w:proofErr w:type="spellStart"/>
      <w:r w:rsidRPr="000C5DE0">
        <w:rPr>
          <w:i/>
          <w:iCs/>
        </w:rPr>
        <w:t>Pumpun</w:t>
      </w:r>
      <w:proofErr w:type="spellEnd"/>
      <w:r>
        <w:t>.</w:t>
      </w:r>
      <w:r w:rsidR="000C5DE0">
        <w:t xml:space="preserve"> </w:t>
      </w:r>
      <w:r>
        <w:t>Entre 1964 y 1981</w:t>
      </w:r>
      <w:r w:rsidR="000C5DE0">
        <w:t>,</w:t>
      </w:r>
      <w:r>
        <w:t xml:space="preserve"> abandonó el tebeo para trabajar como albañil. </w:t>
      </w:r>
    </w:p>
    <w:p w14:paraId="36367718" w14:textId="77777777" w:rsidR="00B642F0" w:rsidRDefault="00B642F0" w:rsidP="00B642F0">
      <w:pPr>
        <w:jc w:val="both"/>
      </w:pPr>
    </w:p>
    <w:p w14:paraId="6F36292C" w14:textId="217E9CAE" w:rsidR="00B642F0" w:rsidRPr="00B642F0" w:rsidRDefault="00B642F0" w:rsidP="00B642F0">
      <w:pPr>
        <w:jc w:val="both"/>
        <w:rPr>
          <w:b/>
          <w:bCs/>
        </w:rPr>
      </w:pPr>
      <w:r w:rsidRPr="00B642F0">
        <w:rPr>
          <w:b/>
          <w:bCs/>
        </w:rPr>
        <w:t>Datos técnicos</w:t>
      </w:r>
    </w:p>
    <w:p w14:paraId="3A035C1B" w14:textId="77777777" w:rsidR="00B642F0" w:rsidRDefault="00B642F0" w:rsidP="00B642F0">
      <w:pPr>
        <w:pStyle w:val="Sinespaciado"/>
      </w:pPr>
      <w:r w:rsidRPr="00B642F0">
        <w:t>Volumen único</w:t>
      </w:r>
    </w:p>
    <w:p w14:paraId="6EDCE6E3" w14:textId="77777777" w:rsidR="00B642F0" w:rsidRDefault="00B642F0" w:rsidP="00B642F0">
      <w:pPr>
        <w:pStyle w:val="Sinespaciado"/>
      </w:pPr>
      <w:r>
        <w:t>C</w:t>
      </w:r>
      <w:r w:rsidRPr="00B642F0">
        <w:t>artoné</w:t>
      </w:r>
      <w:r>
        <w:t>,</w:t>
      </w:r>
      <w:r w:rsidRPr="00B642F0">
        <w:t xml:space="preserve"> </w:t>
      </w:r>
    </w:p>
    <w:p w14:paraId="22E5F396" w14:textId="7B3301E7" w:rsidR="00B642F0" w:rsidRDefault="00B642F0" w:rsidP="00B642F0">
      <w:pPr>
        <w:pStyle w:val="Sinespaciado"/>
      </w:pPr>
      <w:r w:rsidRPr="00B642F0">
        <w:t>25,5 x 32,5 cm</w:t>
      </w:r>
    </w:p>
    <w:p w14:paraId="0AE477B5" w14:textId="77777777" w:rsidR="00B642F0" w:rsidRDefault="00B642F0" w:rsidP="00B642F0">
      <w:pPr>
        <w:pStyle w:val="Sinespaciado"/>
      </w:pPr>
      <w:r w:rsidRPr="00B642F0">
        <w:t>216 p</w:t>
      </w:r>
      <w:r>
        <w:t>á</w:t>
      </w:r>
      <w:r w:rsidRPr="00B642F0">
        <w:t xml:space="preserve">gs. color </w:t>
      </w:r>
    </w:p>
    <w:p w14:paraId="63A024AA" w14:textId="77777777" w:rsidR="00B642F0" w:rsidRDefault="00B642F0" w:rsidP="00B642F0">
      <w:pPr>
        <w:pStyle w:val="Sinespaciado"/>
      </w:pPr>
      <w:r w:rsidRPr="00B642F0">
        <w:t xml:space="preserve">PVP: 49,95 € </w:t>
      </w:r>
    </w:p>
    <w:p w14:paraId="65FB9BAA" w14:textId="11AB7EFA" w:rsidR="00B642F0" w:rsidRDefault="00B642F0" w:rsidP="00B642F0">
      <w:pPr>
        <w:pStyle w:val="Sinespaciado"/>
      </w:pPr>
      <w:r w:rsidRPr="00B642F0">
        <w:t xml:space="preserve">ISBN: 978-84-679-7355-6 </w:t>
      </w:r>
    </w:p>
    <w:p w14:paraId="69A8E237" w14:textId="77777777" w:rsidR="00DF718E" w:rsidRDefault="00DF718E"/>
    <w:sectPr w:rsidR="00DF71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47"/>
    <w:rsid w:val="000C5DE0"/>
    <w:rsid w:val="004F33BF"/>
    <w:rsid w:val="0060570F"/>
    <w:rsid w:val="00750971"/>
    <w:rsid w:val="009649A5"/>
    <w:rsid w:val="00995594"/>
    <w:rsid w:val="00A8639F"/>
    <w:rsid w:val="00B642F0"/>
    <w:rsid w:val="00CA365F"/>
    <w:rsid w:val="00DF718E"/>
    <w:rsid w:val="00E8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D544"/>
  <w15:chartTrackingRefBased/>
  <w15:docId w15:val="{80E91D09-C0F5-469C-9BFD-10E0B4FA8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147"/>
  </w:style>
  <w:style w:type="paragraph" w:styleId="Ttulo1">
    <w:name w:val="heading 1"/>
    <w:basedOn w:val="Normal"/>
    <w:next w:val="Normal"/>
    <w:link w:val="Ttulo1Car"/>
    <w:uiPriority w:val="9"/>
    <w:qFormat/>
    <w:rsid w:val="00E87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87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87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87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87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87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87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87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87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7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87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87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8714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8714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8714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8714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8714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8714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87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87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87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87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87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8714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8714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8714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87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8714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8714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87147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714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B64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3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3</cp:revision>
  <dcterms:created xsi:type="dcterms:W3CDTF">2024-10-23T07:43:00Z</dcterms:created>
  <dcterms:modified xsi:type="dcterms:W3CDTF">2024-10-23T08:10:00Z</dcterms:modified>
</cp:coreProperties>
</file>